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CC3" w:rsidRDefault="00D93CC3" w:rsidP="00D93CC3">
      <w:pPr>
        <w:pStyle w:val="law-editor-title"/>
        <w:spacing w:before="0" w:beforeAutospacing="0" w:after="0" w:afterAutospacing="0" w:line="240" w:lineRule="exact"/>
        <w:jc w:val="center"/>
        <w:rPr>
          <w:rFonts w:ascii="微软雅黑" w:eastAsia="微软雅黑" w:hAnsi="微软雅黑" w:hint="eastAsia"/>
          <w:b/>
          <w:color w:val="FF0000"/>
          <w:sz w:val="40"/>
          <w:szCs w:val="40"/>
        </w:rPr>
      </w:pPr>
    </w:p>
    <w:p w:rsidR="000D11E9" w:rsidRPr="00D93CC3" w:rsidRDefault="000D11E9" w:rsidP="00D93CC3">
      <w:pPr>
        <w:pStyle w:val="law-editor-title"/>
        <w:spacing w:before="0" w:beforeAutospacing="0" w:after="0" w:afterAutospacing="0" w:line="600" w:lineRule="exact"/>
        <w:jc w:val="center"/>
        <w:rPr>
          <w:rFonts w:ascii="微软雅黑" w:eastAsia="微软雅黑" w:hAnsi="微软雅黑" w:hint="eastAsia"/>
          <w:b/>
          <w:color w:val="FF0000"/>
          <w:sz w:val="40"/>
          <w:szCs w:val="40"/>
        </w:rPr>
      </w:pPr>
      <w:r w:rsidRPr="00D93CC3">
        <w:rPr>
          <w:rFonts w:ascii="微软雅黑" w:eastAsia="微软雅黑" w:hAnsi="微软雅黑" w:hint="eastAsia"/>
          <w:b/>
          <w:color w:val="FF0000"/>
          <w:sz w:val="40"/>
          <w:szCs w:val="40"/>
        </w:rPr>
        <w:t>中华人民共和国印花税法</w:t>
      </w:r>
    </w:p>
    <w:p w:rsidR="00D93CC3" w:rsidRPr="00D93CC3" w:rsidRDefault="00D93CC3" w:rsidP="00D93CC3">
      <w:pPr>
        <w:pStyle w:val="law-editor-title"/>
        <w:spacing w:before="0" w:beforeAutospacing="0" w:after="0" w:afterAutospacing="0" w:line="240" w:lineRule="exact"/>
        <w:jc w:val="center"/>
        <w:rPr>
          <w:rFonts w:ascii="微软雅黑" w:eastAsia="微软雅黑" w:hAnsi="微软雅黑"/>
          <w:b/>
          <w:sz w:val="40"/>
          <w:szCs w:val="40"/>
        </w:rPr>
      </w:pPr>
    </w:p>
    <w:p w:rsidR="000D11E9" w:rsidRPr="00D93CC3" w:rsidRDefault="00C27E36" w:rsidP="00D93CC3">
      <w:pPr>
        <w:pStyle w:val="law-editor-title"/>
        <w:spacing w:before="0" w:beforeAutospacing="0" w:after="0" w:afterAutospacing="0" w:line="240" w:lineRule="exact"/>
        <w:jc w:val="center"/>
        <w:rPr>
          <w:rFonts w:ascii="微软雅黑" w:eastAsia="微软雅黑" w:hAnsi="微软雅黑" w:hint="eastAsia"/>
          <w:sz w:val="22"/>
          <w:szCs w:val="22"/>
        </w:rPr>
      </w:pPr>
      <w:r w:rsidRPr="00D93CC3">
        <w:rPr>
          <w:rFonts w:ascii="微软雅黑" w:eastAsia="微软雅黑" w:hAnsi="微软雅黑" w:hint="eastAsia"/>
          <w:sz w:val="22"/>
          <w:szCs w:val="22"/>
        </w:rPr>
        <w:t>2022-07-01</w:t>
      </w:r>
    </w:p>
    <w:p w:rsidR="00D93CC3" w:rsidRPr="00D93CC3" w:rsidRDefault="00D93CC3" w:rsidP="00D93CC3">
      <w:pPr>
        <w:pStyle w:val="law-editor-title"/>
        <w:spacing w:before="0" w:beforeAutospacing="0" w:after="0" w:afterAutospacing="0" w:line="240" w:lineRule="exact"/>
        <w:jc w:val="center"/>
        <w:rPr>
          <w:rFonts w:ascii="微软雅黑" w:eastAsia="微软雅黑" w:hAnsi="微软雅黑"/>
        </w:rPr>
      </w:pPr>
    </w:p>
    <w:p w:rsidR="000D11E9" w:rsidRPr="00D93CC3" w:rsidRDefault="000D11E9" w:rsidP="00D93CC3">
      <w:pPr>
        <w:pStyle w:val="law-editor-revision"/>
        <w:spacing w:before="0" w:beforeAutospacing="0" w:after="0" w:afterAutospacing="0" w:line="240" w:lineRule="exact"/>
        <w:ind w:left="480" w:right="480"/>
        <w:jc w:val="center"/>
        <w:rPr>
          <w:rFonts w:ascii="微软雅黑" w:eastAsia="微软雅黑" w:hAnsi="微软雅黑"/>
          <w:sz w:val="20"/>
          <w:szCs w:val="20"/>
        </w:rPr>
      </w:pPr>
      <w:r w:rsidRPr="00D93CC3">
        <w:rPr>
          <w:rFonts w:ascii="微软雅黑" w:eastAsia="微软雅黑" w:hAnsi="微软雅黑" w:hint="eastAsia"/>
          <w:sz w:val="20"/>
          <w:szCs w:val="20"/>
        </w:rPr>
        <w:t>（2021年6月10日第十三届全国人民代表大会常务委员会第二十九次会议通过）</w:t>
      </w:r>
    </w:p>
    <w:p w:rsidR="000D11E9" w:rsidRPr="00D93CC3" w:rsidRDefault="000D11E9" w:rsidP="00D93CC3">
      <w:pPr>
        <w:pStyle w:val="padding"/>
        <w:spacing w:before="0" w:beforeAutospacing="0" w:after="0" w:afterAutospacing="0" w:line="300" w:lineRule="exact"/>
        <w:rPr>
          <w:rFonts w:ascii="微软雅黑" w:eastAsia="微软雅黑" w:hAnsi="微软雅黑"/>
        </w:rPr>
      </w:pPr>
      <w:r w:rsidRPr="00D93CC3">
        <w:rPr>
          <w:rFonts w:ascii="微软雅黑" w:eastAsia="微软雅黑" w:hAnsi="微软雅黑" w:hint="eastAsia"/>
          <w:sz w:val="20"/>
          <w:szCs w:val="20"/>
        </w:rPr>
        <w:t> </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rPr>
      </w:pPr>
      <w:r w:rsidRPr="00D93CC3">
        <w:rPr>
          <w:rFonts w:ascii="微软雅黑" w:eastAsia="微软雅黑" w:hAnsi="微软雅黑" w:hint="eastAsia"/>
          <w:b/>
        </w:rPr>
        <w:t>第一条</w:t>
      </w:r>
      <w:r w:rsidRPr="00D93CC3">
        <w:rPr>
          <w:rFonts w:ascii="微软雅黑" w:eastAsia="微软雅黑" w:hAnsi="微软雅黑" w:hint="eastAsia"/>
        </w:rPr>
        <w:t> </w:t>
      </w:r>
      <w:r w:rsidR="002F3034" w:rsidRPr="00D93CC3">
        <w:rPr>
          <w:rFonts w:ascii="微软雅黑" w:eastAsia="微软雅黑" w:hAnsi="微软雅黑" w:hint="eastAsia"/>
        </w:rPr>
        <w:t xml:space="preserve"> </w:t>
      </w:r>
      <w:r w:rsidRPr="00D93CC3">
        <w:rPr>
          <w:rFonts w:ascii="微软雅黑" w:eastAsia="微软雅黑" w:hAnsi="微软雅黑" w:hint="eastAsia"/>
        </w:rPr>
        <w:t>在中华人民共和国境内书立应税凭证、进行证券交易的单位和个人，为印花税的纳税人，应当依照本法规定缴纳印花税。</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在中华人民共和国境外书立在境内使用的应税凭证的单位和个人，应当依照本法规定缴纳印花税。</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第二条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本法所称应税凭证，是指本法所附《印花税税目税率表》列明的合同、产权转移书据和营业账簿。</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第三条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本法所称证券交易，是指转让在依法设立的证券交易所、国务院批准的其他全国性证券交易场所交易的股票和以股票为基础的存托凭证。</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证券交易印花税对证券交易的出让方征收，不对受让方征收。</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第四条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印花税的税目、税率，依照本法所附《印花税税目税率表》执行。</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第五条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印花税的计税依据如下：</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（一）应税合同的计税依据，为合同所列的金额，不包括列明的增值税税款；</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（二）应税产权转移书据的计税依据，为产权转移书据所列的金额，不包括列明的增值税税款；</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（三）应税营业账簿的计税依据，为账簿记载的实收资本（股本）、资本公积合计金额；</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（四）证券交易的计税依据，为成交金额。</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第六条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应税合同、产权转移书据未列明金额的，印花税的计税依据按照实际结算的金额确定。</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计税依据按照前款规定仍不能确定的，按照书立合同、产权转移书据时的市场价格确定；依法应当执行政府定价或者政府指导价的，按照国家有关规定确定。</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第七条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证券交易无转让价格的，按照办理过户登记手续时该证券前一个交易日收盘价计算确定计税依据；无收盘价的，按照证券面值计算确定计税依据。</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第八条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印花税的应纳税额按照计税依据乘以适用税率计算。</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第九条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同一应税凭证载有两个以上税目事项并分别列明金额的，按照各自适用的税目税率分别计算应纳税额；未分别列明金额的，从高适用税率。</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第十条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同一应税凭证由两方以上当事人书立的，按照各自涉及的金额分别计算应纳税额。</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第十一条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已缴纳印花税的营业账簿，以后年度记载的实收资本（股本）、资本公积合计金额比已缴纳印花税的实收资本（股本）、资本公积合计金额增加的，按照增加部分计算应纳税额。</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第十二条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下列凭证免征印花税：</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（一）应税凭证的副本或者抄本；</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（二）依照法律规定应当予以免税的外国驻华使馆、领事馆和国际组织驻华代表机构为获得馆舍书立的应税凭证；</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（三）中国人民解放军、中国人民武装警察部队书立的应税凭证；</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（四）农民、家庭农场、农民专业合作社、农村集体经济组织、村民委员会购买农业生产资料或者销售农产品书立的买卖合同和农业保险合同；</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（五）无息或者贴息借款合同、国际金融组织向中国提供优惠贷款书立的借款合同；</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（六）财产所有权人将财产赠与政府、学校、社会福利机构、慈善组织书立的产权转移书据；</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（七）非营利性医疗卫生机构采购药品或者卫生材料书立的买卖合同；</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（八）个人与电子商务经营者订立的电子订单。</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根据国民经济和社会发展的需要，国务院对居民住房需求保障、企业改制重组、破产、支持小型微型企业发展等情形可以规定减征或者免征印花税，报全国人民代表大会常务委员会备案。</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第十三条</w:t>
      </w:r>
      <w:r w:rsidR="002F3034" w:rsidRPr="00D93CC3">
        <w:rPr>
          <w:rFonts w:ascii="微软雅黑" w:eastAsia="微软雅黑" w:hAnsi="微软雅黑" w:hint="eastAsia"/>
          <w:b/>
          <w:color w:val="000000"/>
        </w:rPr>
        <w:t xml:space="preserve"> </w:t>
      </w:r>
      <w:r w:rsidRPr="00D93CC3">
        <w:rPr>
          <w:rFonts w:ascii="微软雅黑" w:eastAsia="微软雅黑" w:hAnsi="微软雅黑" w:hint="eastAsia"/>
          <w:color w:val="000000"/>
        </w:rPr>
        <w:t> 纳税人为单位的，应当向其机构所在地的主管税务机关申报缴纳印花税；纳税人为个人的，应当向应税凭证书立地或者纳税人居住地的主管税务机关申报缴纳印花税。</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不动产产权发生转移的，纳税人应当向不动产所在地的主管税务机关申报缴纳印花税。</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第十四条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纳税人为境外单位或者个人，在境内有代理人的，以其境内代理人为扣缴义务人；在境内没有代理人的，由纳税人自行申报缴纳印花税，具体办法由国务院税务主管部门规定。</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lastRenderedPageBreak/>
        <w:t>证券登记结算机构为证券交易印花税的扣缴义务人，应当向其机构所在地的主管税务机关申报解缴税款以及银行结算的利息。</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第十五条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印花税的纳税义务发生时间为纳税人书立应税凭证或者完成证券交易的当日。</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证券交易印花税扣缴义务发生时间为证券交易完成的当日。</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第十六条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印花税按季、按年或者按次计征。实行按季、按年计征的，纳税人应当自季度、年度终了之日起十五日内申报缴纳税款；实行按次计征的，纳税人应当自纳税义务发生之日起十五日内申报缴纳税款。</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证券交易印花税按周解缴。证券交易印花税扣缴义务人应当自每周终了之日起五日内申报解缴税款以及银行结算的利息。</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b/>
          <w:color w:val="000000"/>
        </w:rPr>
        <w:t>第十七条</w:t>
      </w:r>
      <w:r w:rsidRPr="00D93CC3">
        <w:rPr>
          <w:rFonts w:ascii="微软雅黑" w:eastAsia="微软雅黑" w:hAnsi="微软雅黑" w:hint="eastAsia"/>
          <w:color w:val="000000"/>
        </w:rPr>
        <w:t> </w:t>
      </w:r>
      <w:r w:rsidR="002F3034" w:rsidRPr="00D93CC3">
        <w:rPr>
          <w:rFonts w:ascii="微软雅黑" w:eastAsia="微软雅黑" w:hAnsi="微软雅黑" w:hint="eastAsia"/>
          <w:color w:val="000000"/>
        </w:rPr>
        <w:t xml:space="preserve"> </w:t>
      </w:r>
      <w:r w:rsidRPr="00D93CC3">
        <w:rPr>
          <w:rFonts w:ascii="微软雅黑" w:eastAsia="微软雅黑" w:hAnsi="微软雅黑" w:hint="eastAsia"/>
          <w:color w:val="000000"/>
        </w:rPr>
        <w:t>印花税可以采用粘贴印花税票或者由税务机关依法开具其他完税凭证的方式缴纳。</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r w:rsidRPr="00D93CC3">
        <w:rPr>
          <w:rFonts w:ascii="微软雅黑" w:eastAsia="微软雅黑" w:hAnsi="微软雅黑" w:hint="eastAsia"/>
          <w:color w:val="000000"/>
        </w:rPr>
        <w:t>印花税票粘贴在应税凭证上的，由纳税人在每枚税票的骑缝处盖戳注销或者画销。</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rPr>
      </w:pPr>
      <w:r w:rsidRPr="00D93CC3">
        <w:rPr>
          <w:rFonts w:ascii="微软雅黑" w:eastAsia="微软雅黑" w:hAnsi="微软雅黑" w:hint="eastAsia"/>
        </w:rPr>
        <w:t>印花税票由国务院税务主管部门监制。</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rPr>
      </w:pPr>
      <w:r w:rsidRPr="00D93CC3">
        <w:rPr>
          <w:rFonts w:ascii="微软雅黑" w:eastAsia="微软雅黑" w:hAnsi="微软雅黑" w:hint="eastAsia"/>
          <w:b/>
        </w:rPr>
        <w:t>第十八条</w:t>
      </w:r>
      <w:r w:rsidRPr="00D93CC3">
        <w:rPr>
          <w:rFonts w:ascii="微软雅黑" w:eastAsia="微软雅黑" w:hAnsi="微软雅黑" w:hint="eastAsia"/>
        </w:rPr>
        <w:t> </w:t>
      </w:r>
      <w:r w:rsidR="002F3034" w:rsidRPr="00D93CC3">
        <w:rPr>
          <w:rFonts w:ascii="微软雅黑" w:eastAsia="微软雅黑" w:hAnsi="微软雅黑" w:hint="eastAsia"/>
        </w:rPr>
        <w:t xml:space="preserve"> </w:t>
      </w:r>
      <w:r w:rsidRPr="00D93CC3">
        <w:rPr>
          <w:rFonts w:ascii="微软雅黑" w:eastAsia="微软雅黑" w:hAnsi="微软雅黑" w:hint="eastAsia"/>
        </w:rPr>
        <w:t>印花税由税务机关依照本法和《中华人民共和国税收征收管理法》的规定征收管理。</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rPr>
      </w:pPr>
      <w:r w:rsidRPr="00D93CC3">
        <w:rPr>
          <w:rFonts w:ascii="微软雅黑" w:eastAsia="微软雅黑" w:hAnsi="微软雅黑" w:hint="eastAsia"/>
          <w:b/>
        </w:rPr>
        <w:t>第十九条</w:t>
      </w:r>
      <w:r w:rsidRPr="00D93CC3">
        <w:rPr>
          <w:rFonts w:ascii="微软雅黑" w:eastAsia="微软雅黑" w:hAnsi="微软雅黑" w:hint="eastAsia"/>
        </w:rPr>
        <w:t> </w:t>
      </w:r>
      <w:r w:rsidR="002F3034" w:rsidRPr="00D93CC3">
        <w:rPr>
          <w:rFonts w:ascii="微软雅黑" w:eastAsia="微软雅黑" w:hAnsi="微软雅黑" w:hint="eastAsia"/>
        </w:rPr>
        <w:t xml:space="preserve"> </w:t>
      </w:r>
      <w:r w:rsidRPr="00D93CC3">
        <w:rPr>
          <w:rFonts w:ascii="微软雅黑" w:eastAsia="微软雅黑" w:hAnsi="微软雅黑" w:hint="eastAsia"/>
        </w:rPr>
        <w:t>纳税人、扣缴义务人和税务机关及其工作人员违反本法规定的，依照《中华人民共和国税收征收管理法》和有关法律、行政法规的规定追究法律责任。</w:t>
      </w:r>
    </w:p>
    <w:p w:rsidR="000D11E9" w:rsidRPr="00D93CC3" w:rsidRDefault="000D11E9" w:rsidP="00D93CC3">
      <w:pPr>
        <w:pStyle w:val="law-editor-text"/>
        <w:spacing w:before="0" w:beforeAutospacing="0" w:after="0" w:afterAutospacing="0" w:line="300" w:lineRule="exact"/>
        <w:ind w:firstLineChars="200" w:firstLine="480"/>
        <w:jc w:val="both"/>
        <w:rPr>
          <w:rFonts w:ascii="微软雅黑" w:eastAsia="微软雅黑" w:hAnsi="微软雅黑" w:hint="eastAsia"/>
        </w:rPr>
      </w:pPr>
      <w:r w:rsidRPr="00D93CC3">
        <w:rPr>
          <w:rFonts w:ascii="微软雅黑" w:eastAsia="微软雅黑" w:hAnsi="微软雅黑" w:hint="eastAsia"/>
          <w:b/>
        </w:rPr>
        <w:t>第二十条</w:t>
      </w:r>
      <w:r w:rsidRPr="00D93CC3">
        <w:rPr>
          <w:rFonts w:ascii="微软雅黑" w:eastAsia="微软雅黑" w:hAnsi="微软雅黑" w:hint="eastAsia"/>
        </w:rPr>
        <w:t> </w:t>
      </w:r>
      <w:r w:rsidR="002F3034" w:rsidRPr="00D93CC3">
        <w:rPr>
          <w:rFonts w:ascii="微软雅黑" w:eastAsia="微软雅黑" w:hAnsi="微软雅黑" w:hint="eastAsia"/>
        </w:rPr>
        <w:t xml:space="preserve"> </w:t>
      </w:r>
      <w:r w:rsidRPr="00D93CC3">
        <w:rPr>
          <w:rFonts w:ascii="微软雅黑" w:eastAsia="微软雅黑" w:hAnsi="微软雅黑" w:hint="eastAsia"/>
        </w:rPr>
        <w:t>本法自2022年7月1日起施行。1988年8月6日国务院发布的《中华人民共和国印花税暂行条例》同时废止。</w:t>
      </w:r>
    </w:p>
    <w:p w:rsidR="00D93CC3" w:rsidRPr="00D93CC3" w:rsidRDefault="00D93CC3" w:rsidP="00D93CC3">
      <w:pPr>
        <w:pStyle w:val="law-editor-text"/>
        <w:spacing w:before="0" w:beforeAutospacing="0" w:after="0" w:afterAutospacing="0" w:line="300" w:lineRule="exact"/>
        <w:ind w:firstLineChars="200" w:firstLine="480"/>
        <w:jc w:val="both"/>
        <w:rPr>
          <w:rFonts w:ascii="微软雅黑" w:eastAsia="微软雅黑" w:hAnsi="微软雅黑"/>
          <w:color w:val="000000"/>
        </w:rPr>
      </w:pPr>
    </w:p>
    <w:p w:rsidR="000D11E9" w:rsidRPr="00D93CC3" w:rsidRDefault="000D11E9" w:rsidP="00D93CC3">
      <w:pPr>
        <w:pStyle w:val="law-editor-text"/>
        <w:spacing w:before="0" w:beforeAutospacing="0" w:after="0" w:afterAutospacing="0" w:line="300" w:lineRule="exact"/>
        <w:ind w:firstLine="480"/>
        <w:jc w:val="both"/>
        <w:rPr>
          <w:rFonts w:ascii="微软雅黑" w:eastAsia="微软雅黑" w:hAnsi="微软雅黑"/>
          <w:color w:val="000000"/>
        </w:rPr>
      </w:pPr>
      <w:r w:rsidRPr="00D93CC3">
        <w:rPr>
          <w:rFonts w:ascii="微软雅黑" w:eastAsia="微软雅黑" w:hAnsi="微软雅黑" w:hint="eastAsia"/>
          <w:color w:val="000000"/>
        </w:rPr>
        <w:t>附：</w:t>
      </w:r>
    </w:p>
    <w:p w:rsidR="007F0382" w:rsidRDefault="000D11E9" w:rsidP="00C27E36">
      <w:pPr>
        <w:jc w:val="center"/>
      </w:pPr>
      <w:r>
        <w:rPr>
          <w:noProof/>
        </w:rPr>
        <w:drawing>
          <wp:inline distT="0" distB="0" distL="0" distR="0">
            <wp:extent cx="6172198" cy="5857875"/>
            <wp:effectExtent l="19050" t="0" r="2" b="0"/>
            <wp:docPr id="1" name="图片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stretch>
                      <a:fillRect/>
                    </a:stretch>
                  </pic:blipFill>
                  <pic:spPr>
                    <a:xfrm>
                      <a:off x="0" y="0"/>
                      <a:ext cx="6175619" cy="5861121"/>
                    </a:xfrm>
                    <a:prstGeom prst="rect">
                      <a:avLst/>
                    </a:prstGeom>
                  </pic:spPr>
                </pic:pic>
              </a:graphicData>
            </a:graphic>
          </wp:inline>
        </w:drawing>
      </w:r>
    </w:p>
    <w:p w:rsidR="000D11E9" w:rsidRDefault="000D11E9" w:rsidP="00855327">
      <w:pPr>
        <w:jc w:val="center"/>
      </w:pPr>
      <w:r>
        <w:rPr>
          <w:noProof/>
        </w:rPr>
        <w:lastRenderedPageBreak/>
        <w:drawing>
          <wp:inline distT="0" distB="0" distL="0" distR="0">
            <wp:extent cx="6248400" cy="8143875"/>
            <wp:effectExtent l="19050" t="0" r="0" b="0"/>
            <wp:docPr id="2" name="图片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7" cstate="print"/>
                    <a:stretch>
                      <a:fillRect/>
                    </a:stretch>
                  </pic:blipFill>
                  <pic:spPr>
                    <a:xfrm>
                      <a:off x="0" y="0"/>
                      <a:ext cx="6251186" cy="8147506"/>
                    </a:xfrm>
                    <a:prstGeom prst="rect">
                      <a:avLst/>
                    </a:prstGeom>
                  </pic:spPr>
                </pic:pic>
              </a:graphicData>
            </a:graphic>
          </wp:inline>
        </w:drawing>
      </w:r>
    </w:p>
    <w:sectPr w:rsidR="000D11E9" w:rsidSect="00D93CC3">
      <w:footerReference w:type="default" r:id="rId8"/>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94B" w:rsidRDefault="004B694B" w:rsidP="00C27E36">
      <w:r>
        <w:separator/>
      </w:r>
    </w:p>
  </w:endnote>
  <w:endnote w:type="continuationSeparator" w:id="0">
    <w:p w:rsidR="004B694B" w:rsidRDefault="004B694B" w:rsidP="00C27E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097111"/>
      <w:docPartObj>
        <w:docPartGallery w:val="Page Numbers (Bottom of Page)"/>
        <w:docPartUnique/>
      </w:docPartObj>
    </w:sdtPr>
    <w:sdtEndPr>
      <w:rPr>
        <w:sz w:val="24"/>
        <w:szCs w:val="24"/>
      </w:rPr>
    </w:sdtEndPr>
    <w:sdtContent>
      <w:p w:rsidR="00D93CC3" w:rsidRDefault="00D93CC3">
        <w:pPr>
          <w:pStyle w:val="a5"/>
          <w:jc w:val="right"/>
        </w:pPr>
        <w:r>
          <w:rPr>
            <w:rFonts w:hint="eastAsia"/>
          </w:rPr>
          <w:t xml:space="preserve">- </w:t>
        </w:r>
        <w:r w:rsidRPr="00D93CC3">
          <w:rPr>
            <w:sz w:val="24"/>
            <w:szCs w:val="24"/>
          </w:rPr>
          <w:fldChar w:fldCharType="begin"/>
        </w:r>
        <w:r w:rsidRPr="00D93CC3">
          <w:rPr>
            <w:sz w:val="24"/>
            <w:szCs w:val="24"/>
          </w:rPr>
          <w:instrText xml:space="preserve"> PAGE   \* MERGEFORMAT </w:instrText>
        </w:r>
        <w:r w:rsidRPr="00D93CC3">
          <w:rPr>
            <w:sz w:val="24"/>
            <w:szCs w:val="24"/>
          </w:rPr>
          <w:fldChar w:fldCharType="separate"/>
        </w:r>
        <w:r w:rsidRPr="00D93CC3">
          <w:rPr>
            <w:noProof/>
            <w:sz w:val="24"/>
            <w:szCs w:val="24"/>
            <w:lang w:val="zh-CN"/>
          </w:rPr>
          <w:t>1</w:t>
        </w:r>
        <w:r w:rsidRPr="00D93CC3">
          <w:rPr>
            <w:sz w:val="24"/>
            <w:szCs w:val="24"/>
          </w:rPr>
          <w:fldChar w:fldCharType="end"/>
        </w:r>
        <w:r>
          <w:rPr>
            <w:rFonts w:hint="eastAsia"/>
            <w:sz w:val="24"/>
            <w:szCs w:val="24"/>
          </w:rPr>
          <w:t xml:space="preserve"> -</w:t>
        </w:r>
      </w:p>
    </w:sdtContent>
  </w:sdt>
  <w:p w:rsidR="00D93CC3" w:rsidRDefault="00D93CC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94B" w:rsidRDefault="004B694B" w:rsidP="00C27E36">
      <w:r>
        <w:separator/>
      </w:r>
    </w:p>
  </w:footnote>
  <w:footnote w:type="continuationSeparator" w:id="0">
    <w:p w:rsidR="004B694B" w:rsidRDefault="004B694B" w:rsidP="00C27E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11E9"/>
    <w:rsid w:val="000D11E9"/>
    <w:rsid w:val="002A2502"/>
    <w:rsid w:val="002F3034"/>
    <w:rsid w:val="00412F26"/>
    <w:rsid w:val="00447A76"/>
    <w:rsid w:val="004B694B"/>
    <w:rsid w:val="007F0382"/>
    <w:rsid w:val="00855327"/>
    <w:rsid w:val="00A91082"/>
    <w:rsid w:val="00C27E36"/>
    <w:rsid w:val="00D93CC3"/>
    <w:rsid w:val="00F776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3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editor-title">
    <w:name w:val="law-editor-title"/>
    <w:basedOn w:val="a"/>
    <w:rsid w:val="000D11E9"/>
    <w:pPr>
      <w:widowControl/>
      <w:spacing w:before="100" w:beforeAutospacing="1" w:after="100" w:afterAutospacing="1"/>
      <w:jc w:val="left"/>
    </w:pPr>
    <w:rPr>
      <w:rFonts w:ascii="宋体" w:eastAsia="宋体" w:hAnsi="宋体" w:cs="宋体"/>
      <w:kern w:val="0"/>
      <w:sz w:val="24"/>
      <w:szCs w:val="24"/>
    </w:rPr>
  </w:style>
  <w:style w:type="paragraph" w:customStyle="1" w:styleId="padding">
    <w:name w:val="padding"/>
    <w:basedOn w:val="a"/>
    <w:rsid w:val="000D11E9"/>
    <w:pPr>
      <w:widowControl/>
      <w:spacing w:before="100" w:beforeAutospacing="1" w:after="100" w:afterAutospacing="1"/>
      <w:jc w:val="left"/>
    </w:pPr>
    <w:rPr>
      <w:rFonts w:ascii="宋体" w:eastAsia="宋体" w:hAnsi="宋体" w:cs="宋体"/>
      <w:kern w:val="0"/>
      <w:sz w:val="24"/>
      <w:szCs w:val="24"/>
    </w:rPr>
  </w:style>
  <w:style w:type="paragraph" w:customStyle="1" w:styleId="law-editor-revision">
    <w:name w:val="law-editor-revision"/>
    <w:basedOn w:val="a"/>
    <w:rsid w:val="000D11E9"/>
    <w:pPr>
      <w:widowControl/>
      <w:spacing w:before="100" w:beforeAutospacing="1" w:after="100" w:afterAutospacing="1"/>
      <w:jc w:val="left"/>
    </w:pPr>
    <w:rPr>
      <w:rFonts w:ascii="宋体" w:eastAsia="宋体" w:hAnsi="宋体" w:cs="宋体"/>
      <w:kern w:val="0"/>
      <w:sz w:val="24"/>
      <w:szCs w:val="24"/>
    </w:rPr>
  </w:style>
  <w:style w:type="paragraph" w:customStyle="1" w:styleId="law-editor-text">
    <w:name w:val="law-editor-text"/>
    <w:basedOn w:val="a"/>
    <w:rsid w:val="000D11E9"/>
    <w:pPr>
      <w:widowControl/>
      <w:spacing w:before="100" w:beforeAutospacing="1" w:after="100" w:afterAutospacing="1"/>
      <w:jc w:val="left"/>
    </w:pPr>
    <w:rPr>
      <w:rFonts w:ascii="宋体" w:eastAsia="宋体" w:hAnsi="宋体" w:cs="宋体"/>
      <w:kern w:val="0"/>
      <w:sz w:val="24"/>
      <w:szCs w:val="24"/>
    </w:rPr>
  </w:style>
  <w:style w:type="paragraph" w:styleId="a3">
    <w:name w:val="Balloon Text"/>
    <w:basedOn w:val="a"/>
    <w:link w:val="Char"/>
    <w:uiPriority w:val="99"/>
    <w:semiHidden/>
    <w:unhideWhenUsed/>
    <w:rsid w:val="000D11E9"/>
    <w:rPr>
      <w:sz w:val="18"/>
      <w:szCs w:val="18"/>
    </w:rPr>
  </w:style>
  <w:style w:type="character" w:customStyle="1" w:styleId="Char">
    <w:name w:val="批注框文本 Char"/>
    <w:basedOn w:val="a0"/>
    <w:link w:val="a3"/>
    <w:uiPriority w:val="99"/>
    <w:semiHidden/>
    <w:rsid w:val="000D11E9"/>
    <w:rPr>
      <w:sz w:val="18"/>
      <w:szCs w:val="18"/>
    </w:rPr>
  </w:style>
  <w:style w:type="paragraph" w:styleId="a4">
    <w:name w:val="header"/>
    <w:basedOn w:val="a"/>
    <w:link w:val="Char0"/>
    <w:uiPriority w:val="99"/>
    <w:semiHidden/>
    <w:unhideWhenUsed/>
    <w:rsid w:val="00C27E3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C27E36"/>
    <w:rPr>
      <w:sz w:val="18"/>
      <w:szCs w:val="18"/>
    </w:rPr>
  </w:style>
  <w:style w:type="paragraph" w:styleId="a5">
    <w:name w:val="footer"/>
    <w:basedOn w:val="a"/>
    <w:link w:val="Char1"/>
    <w:uiPriority w:val="99"/>
    <w:unhideWhenUsed/>
    <w:rsid w:val="00C27E36"/>
    <w:pPr>
      <w:tabs>
        <w:tab w:val="center" w:pos="4153"/>
        <w:tab w:val="right" w:pos="8306"/>
      </w:tabs>
      <w:snapToGrid w:val="0"/>
      <w:jc w:val="left"/>
    </w:pPr>
    <w:rPr>
      <w:sz w:val="18"/>
      <w:szCs w:val="18"/>
    </w:rPr>
  </w:style>
  <w:style w:type="character" w:customStyle="1" w:styleId="Char1">
    <w:name w:val="页脚 Char"/>
    <w:basedOn w:val="a0"/>
    <w:link w:val="a5"/>
    <w:uiPriority w:val="99"/>
    <w:rsid w:val="00C27E36"/>
    <w:rPr>
      <w:sz w:val="18"/>
      <w:szCs w:val="18"/>
    </w:rPr>
  </w:style>
  <w:style w:type="paragraph" w:styleId="a6">
    <w:name w:val="Date"/>
    <w:basedOn w:val="a"/>
    <w:next w:val="a"/>
    <w:link w:val="Char2"/>
    <w:uiPriority w:val="99"/>
    <w:semiHidden/>
    <w:unhideWhenUsed/>
    <w:rsid w:val="00D93CC3"/>
    <w:pPr>
      <w:ind w:leftChars="2500" w:left="100"/>
    </w:pPr>
  </w:style>
  <w:style w:type="character" w:customStyle="1" w:styleId="Char2">
    <w:name w:val="日期 Char"/>
    <w:basedOn w:val="a0"/>
    <w:link w:val="a6"/>
    <w:uiPriority w:val="99"/>
    <w:semiHidden/>
    <w:rsid w:val="00D93CC3"/>
  </w:style>
</w:styles>
</file>

<file path=word/webSettings.xml><?xml version="1.0" encoding="utf-8"?>
<w:webSettings xmlns:r="http://schemas.openxmlformats.org/officeDocument/2006/relationships" xmlns:w="http://schemas.openxmlformats.org/wordprocessingml/2006/main">
  <w:divs>
    <w:div w:id="144496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307</Words>
  <Characters>1755</Characters>
  <Application>Microsoft Office Word</Application>
  <DocSecurity>0</DocSecurity>
  <Lines>14</Lines>
  <Paragraphs>4</Paragraphs>
  <ScaleCrop>false</ScaleCrop>
  <Company>newdaxie</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D079</dc:title>
  <dc:creator>新大榭</dc:creator>
  <cp:lastModifiedBy>Zhanglb</cp:lastModifiedBy>
  <cp:revision>7</cp:revision>
  <dcterms:created xsi:type="dcterms:W3CDTF">2023-04-09T14:44:00Z</dcterms:created>
  <dcterms:modified xsi:type="dcterms:W3CDTF">2025-08-06T07:35:00Z</dcterms:modified>
</cp:coreProperties>
</file>